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7D2A" w14:textId="77777777" w:rsidR="00895ECE" w:rsidRDefault="00000000">
      <w:pPr>
        <w:rPr>
          <w:sz w:val="56"/>
          <w:szCs w:val="56"/>
        </w:rPr>
      </w:pPr>
      <w:r>
        <w:rPr>
          <w:sz w:val="56"/>
          <w:szCs w:val="56"/>
        </w:rPr>
        <w:tab/>
        <w:t xml:space="preserve">                                                        </w:t>
      </w:r>
    </w:p>
    <w:p w14:paraId="17C1907F" w14:textId="77777777" w:rsidR="00895ECE" w:rsidRDefault="00000000">
      <w:pPr>
        <w:rPr>
          <w:sz w:val="72"/>
          <w:szCs w:val="72"/>
        </w:rPr>
      </w:pPr>
      <w:r>
        <w:rPr>
          <w:sz w:val="56"/>
          <w:szCs w:val="56"/>
        </w:rPr>
        <w:t xml:space="preserve">   </w:t>
      </w:r>
      <w:r>
        <w:rPr>
          <w:sz w:val="72"/>
          <w:szCs w:val="72"/>
        </w:rPr>
        <w:t>GALAXY PLATFORMU İLE</w:t>
      </w:r>
    </w:p>
    <w:p w14:paraId="77D1229D" w14:textId="77777777" w:rsidR="00895ECE" w:rsidRDefault="00000000">
      <w:pPr>
        <w:rPr>
          <w:sz w:val="72"/>
          <w:szCs w:val="72"/>
        </w:rPr>
      </w:pPr>
      <w:r>
        <w:rPr>
          <w:sz w:val="72"/>
          <w:szCs w:val="72"/>
        </w:rPr>
        <w:t xml:space="preserve">    RNA SEQ VERİ ANALİZİ </w:t>
      </w:r>
    </w:p>
    <w:p w14:paraId="2D29D001" w14:textId="77777777" w:rsidR="00895ECE" w:rsidRDefault="00895ECE">
      <w:pPr>
        <w:rPr>
          <w:sz w:val="72"/>
          <w:szCs w:val="72"/>
        </w:rPr>
      </w:pPr>
    </w:p>
    <w:p w14:paraId="381D90A7" w14:textId="77777777" w:rsidR="00895ECE" w:rsidRDefault="00000000">
      <w:pPr>
        <w:rPr>
          <w:sz w:val="28"/>
          <w:szCs w:val="28"/>
        </w:rPr>
      </w:pPr>
      <w:r>
        <w:rPr>
          <w:sz w:val="28"/>
          <w:szCs w:val="28"/>
        </w:rPr>
        <w:t>Kalite Kontrolü</w:t>
      </w:r>
    </w:p>
    <w:p w14:paraId="61432BC9" w14:textId="2876336B" w:rsidR="00895ECE" w:rsidRDefault="00000000">
      <w:pPr>
        <w:rPr>
          <w:sz w:val="28"/>
          <w:szCs w:val="28"/>
        </w:rPr>
      </w:pPr>
      <w:r>
        <w:rPr>
          <w:sz w:val="28"/>
          <w:szCs w:val="28"/>
        </w:rPr>
        <w:t xml:space="preserve">Referans </w:t>
      </w:r>
      <w:r w:rsidR="00A70F35">
        <w:rPr>
          <w:sz w:val="28"/>
          <w:szCs w:val="28"/>
        </w:rPr>
        <w:t>G</w:t>
      </w:r>
      <w:r>
        <w:rPr>
          <w:sz w:val="28"/>
          <w:szCs w:val="28"/>
        </w:rPr>
        <w:t xml:space="preserve">enoma </w:t>
      </w:r>
      <w:r w:rsidR="00A70F35">
        <w:rPr>
          <w:sz w:val="28"/>
          <w:szCs w:val="28"/>
        </w:rPr>
        <w:t>H</w:t>
      </w:r>
      <w:r>
        <w:rPr>
          <w:sz w:val="28"/>
          <w:szCs w:val="28"/>
        </w:rPr>
        <w:t>izalama</w:t>
      </w:r>
    </w:p>
    <w:p w14:paraId="68F3A50B" w14:textId="4B4E24A2" w:rsidR="00895ECE" w:rsidRDefault="00000000">
      <w:pPr>
        <w:rPr>
          <w:sz w:val="28"/>
          <w:szCs w:val="28"/>
        </w:rPr>
      </w:pPr>
      <w:r>
        <w:rPr>
          <w:sz w:val="28"/>
          <w:szCs w:val="28"/>
        </w:rPr>
        <w:t xml:space="preserve">Gen </w:t>
      </w:r>
      <w:r w:rsidR="00A70F35">
        <w:rPr>
          <w:sz w:val="28"/>
          <w:szCs w:val="28"/>
        </w:rPr>
        <w:t>İ</w:t>
      </w:r>
      <w:r>
        <w:rPr>
          <w:sz w:val="28"/>
          <w:szCs w:val="28"/>
        </w:rPr>
        <w:t xml:space="preserve">fade </w:t>
      </w:r>
      <w:r w:rsidR="00A70F35">
        <w:rPr>
          <w:sz w:val="28"/>
          <w:szCs w:val="28"/>
        </w:rPr>
        <w:t>Ö</w:t>
      </w:r>
      <w:r>
        <w:rPr>
          <w:sz w:val="28"/>
          <w:szCs w:val="28"/>
        </w:rPr>
        <w:t xml:space="preserve">lçümü </w:t>
      </w:r>
    </w:p>
    <w:p w14:paraId="660F8DD5" w14:textId="77777777" w:rsidR="00895ECE" w:rsidRDefault="00895ECE">
      <w:pPr>
        <w:rPr>
          <w:sz w:val="72"/>
          <w:szCs w:val="72"/>
        </w:rPr>
      </w:pPr>
    </w:p>
    <w:p w14:paraId="7DC1015D" w14:textId="17A19F34" w:rsidR="00895ECE" w:rsidRDefault="00000000">
      <w:pPr>
        <w:rPr>
          <w:sz w:val="28"/>
          <w:szCs w:val="28"/>
        </w:rPr>
      </w:pPr>
      <w:r>
        <w:rPr>
          <w:sz w:val="28"/>
          <w:szCs w:val="28"/>
        </w:rPr>
        <w:t xml:space="preserve">Cemile mol </w:t>
      </w:r>
      <w:r w:rsidR="00A70F35">
        <w:rPr>
          <w:sz w:val="28"/>
          <w:szCs w:val="28"/>
        </w:rPr>
        <w:t>/ Kifayet Beşirik</w:t>
      </w:r>
    </w:p>
    <w:p w14:paraId="705E3695" w14:textId="1C5AC1EC" w:rsidR="00895ECE" w:rsidRDefault="00000000">
      <w:pPr>
        <w:rPr>
          <w:sz w:val="28"/>
          <w:szCs w:val="28"/>
        </w:rPr>
      </w:pPr>
      <w:r>
        <w:rPr>
          <w:sz w:val="28"/>
          <w:szCs w:val="28"/>
        </w:rPr>
        <w:t xml:space="preserve">Biyoinformatik </w:t>
      </w:r>
    </w:p>
    <w:p w14:paraId="6960DE40" w14:textId="20657CF1" w:rsidR="00895ECE" w:rsidRDefault="00000000">
      <w:pPr>
        <w:rPr>
          <w:sz w:val="28"/>
          <w:szCs w:val="28"/>
        </w:rPr>
      </w:pPr>
      <w:r>
        <w:rPr>
          <w:sz w:val="28"/>
          <w:szCs w:val="28"/>
        </w:rPr>
        <w:t>R</w:t>
      </w:r>
      <w:r w:rsidR="00A70F35">
        <w:rPr>
          <w:sz w:val="28"/>
          <w:szCs w:val="28"/>
        </w:rPr>
        <w:t>NA</w:t>
      </w:r>
      <w:r>
        <w:rPr>
          <w:sz w:val="28"/>
          <w:szCs w:val="28"/>
        </w:rPr>
        <w:t xml:space="preserve"> </w:t>
      </w:r>
      <w:r w:rsidR="00A70F35">
        <w:rPr>
          <w:sz w:val="28"/>
          <w:szCs w:val="28"/>
        </w:rPr>
        <w:t>S</w:t>
      </w:r>
      <w:r>
        <w:rPr>
          <w:sz w:val="28"/>
          <w:szCs w:val="28"/>
        </w:rPr>
        <w:t xml:space="preserve">eq </w:t>
      </w:r>
      <w:r w:rsidR="00A70F35">
        <w:rPr>
          <w:sz w:val="28"/>
          <w:szCs w:val="28"/>
        </w:rPr>
        <w:t>V</w:t>
      </w:r>
      <w:r>
        <w:rPr>
          <w:sz w:val="28"/>
          <w:szCs w:val="28"/>
        </w:rPr>
        <w:t xml:space="preserve">eri </w:t>
      </w:r>
      <w:r w:rsidR="00A70F35">
        <w:rPr>
          <w:sz w:val="28"/>
          <w:szCs w:val="28"/>
        </w:rPr>
        <w:t>A</w:t>
      </w:r>
      <w:r>
        <w:rPr>
          <w:sz w:val="28"/>
          <w:szCs w:val="28"/>
        </w:rPr>
        <w:t xml:space="preserve">nalizi </w:t>
      </w:r>
    </w:p>
    <w:p w14:paraId="443B1B49" w14:textId="77777777" w:rsidR="00895ECE" w:rsidRDefault="00000000">
      <w:pPr>
        <w:rPr>
          <w:sz w:val="28"/>
          <w:szCs w:val="28"/>
        </w:rPr>
      </w:pPr>
      <w:r>
        <w:rPr>
          <w:sz w:val="28"/>
          <w:szCs w:val="28"/>
        </w:rPr>
        <w:br w:type="page"/>
      </w:r>
    </w:p>
    <w:p w14:paraId="2A9297C9" w14:textId="77777777" w:rsidR="00895ECE" w:rsidRDefault="00000000">
      <w:pPr>
        <w:pStyle w:val="ListeParagraf"/>
        <w:numPr>
          <w:ilvl w:val="0"/>
          <w:numId w:val="1"/>
        </w:numPr>
        <w:rPr>
          <w:b/>
          <w:bCs/>
          <w:sz w:val="36"/>
          <w:szCs w:val="36"/>
        </w:rPr>
      </w:pPr>
      <w:r>
        <w:rPr>
          <w:b/>
          <w:bCs/>
          <w:sz w:val="36"/>
          <w:szCs w:val="36"/>
        </w:rPr>
        <w:lastRenderedPageBreak/>
        <w:t>Kalite kontrolü ve veri temizleme aşamaları</w:t>
      </w:r>
    </w:p>
    <w:p w14:paraId="54D5D2CF" w14:textId="77777777" w:rsidR="00895ECE" w:rsidRDefault="00000000">
      <w:pPr>
        <w:rPr>
          <w:sz w:val="32"/>
          <w:szCs w:val="32"/>
        </w:rPr>
      </w:pPr>
      <w:r>
        <w:rPr>
          <w:sz w:val="32"/>
          <w:szCs w:val="32"/>
        </w:rPr>
        <w:t xml:space="preserve">ilk adım, NCBI üzerinden alınan transcriptom verilerinin fastq formatında galaxy platformuna yüklenmesiyle kalite kontrol ve veri temizleme adımlarının yapılmasıdır.  Önceki derslerde bahsetmiş olduğum kalite kontrolü aşamasında  fastQC formatından farklı olarak bu kez trim galore’dan  bahsedeceğim. </w:t>
      </w:r>
    </w:p>
    <w:p w14:paraId="2A053268" w14:textId="77777777" w:rsidR="00895ECE" w:rsidRDefault="00000000">
      <w:pPr>
        <w:rPr>
          <w:sz w:val="32"/>
          <w:szCs w:val="32"/>
        </w:rPr>
      </w:pPr>
      <w:r>
        <w:rPr>
          <w:sz w:val="32"/>
          <w:szCs w:val="32"/>
        </w:rPr>
        <w:t xml:space="preserve">Trim Galore: </w:t>
      </w:r>
    </w:p>
    <w:p w14:paraId="246B8624" w14:textId="77777777" w:rsidR="00895ECE" w:rsidRDefault="00000000">
      <w:pPr>
        <w:rPr>
          <w:sz w:val="32"/>
          <w:szCs w:val="32"/>
        </w:rPr>
      </w:pPr>
      <w:r>
        <w:rPr>
          <w:sz w:val="32"/>
          <w:szCs w:val="32"/>
        </w:rPr>
        <w:t>Kalite kontrol aşamasında kullanılan 3 Tool vardır, bu toollar bilindiği gibi FastQC, MultiQC ve Trim Galore. Bu toollar arasında Trim galore FastQC’ye göre (FastQC,  genellikle kalite kontrolü değerlendirmesi şeklinde çalışır) hem kalite kontrolü hem de veri temizleme gibi durumlar açısından avantajlıdır( MultiQC ise genel olarak raporlama için kullanılan bir tooldur.) Bu yüzden kalite kontrolü için “Trim Galore’u tercih ediyorum.</w:t>
      </w:r>
    </w:p>
    <w:p w14:paraId="4C05DC0F" w14:textId="77777777" w:rsidR="00895ECE" w:rsidRDefault="00895ECE">
      <w:pPr>
        <w:rPr>
          <w:sz w:val="28"/>
          <w:szCs w:val="28"/>
        </w:rPr>
      </w:pPr>
    </w:p>
    <w:p w14:paraId="17D80225" w14:textId="77777777" w:rsidR="00895ECE" w:rsidRDefault="00000000">
      <w:pPr>
        <w:numPr>
          <w:ilvl w:val="0"/>
          <w:numId w:val="2"/>
        </w:numPr>
        <w:spacing w:beforeAutospacing="1" w:after="0" w:afterAutospacing="1"/>
        <w:rPr>
          <w:rFonts w:ascii="Calibri" w:hAnsi="Calibri" w:cs="Calibri"/>
          <w:color w:val="0D0D0D" w:themeColor="text1" w:themeTint="F2"/>
          <w:sz w:val="28"/>
          <w:szCs w:val="28"/>
        </w:rPr>
      </w:pPr>
      <w:r>
        <w:rPr>
          <w:rFonts w:ascii="Calibri" w:hAnsi="Calibri" w:cs="Calibri"/>
          <w:color w:val="0D0D0D" w:themeColor="text1" w:themeTint="F2"/>
          <w:sz w:val="28"/>
          <w:szCs w:val="28"/>
        </w:rPr>
        <w:t>Trim galore fastqc ile yapılan kalite kontrol sonuçlarına bağlı olarak çalışır.  Kalite kontrol sonucunda hata tespit edilen bölgelerin belirlenmesi üzerine Trim galore parametrelerinde ayarlanması sonucu trimleme işlemi yapılır.</w:t>
      </w:r>
    </w:p>
    <w:p w14:paraId="54D6FEFC" w14:textId="77777777" w:rsidR="00895ECE" w:rsidRDefault="00000000">
      <w:pPr>
        <w:numPr>
          <w:ilvl w:val="0"/>
          <w:numId w:val="2"/>
        </w:numPr>
        <w:spacing w:beforeAutospacing="1" w:after="0" w:afterAutospacing="1"/>
        <w:rPr>
          <w:rFonts w:ascii="Calibri" w:hAnsi="Calibri" w:cs="Calibri"/>
          <w:color w:val="0D0D0D" w:themeColor="text1" w:themeTint="F2"/>
          <w:sz w:val="40"/>
          <w:szCs w:val="40"/>
        </w:rPr>
      </w:pPr>
      <w:r>
        <w:rPr>
          <w:rFonts w:ascii="Calibri" w:eastAsia="Segoe UI" w:hAnsi="Calibri" w:cs="Calibri"/>
          <w:color w:val="0D0D0D" w:themeColor="text1" w:themeTint="F2"/>
          <w:sz w:val="28"/>
          <w:szCs w:val="28"/>
          <w:shd w:val="clear" w:color="auto" w:fill="FFFFFF"/>
        </w:rPr>
        <w:t>Adaptör kırpma için Trim Galore, Varsayılan olarak Illumina standart bağdaştırıcılarının ('AGATCGGAAGAGC') ilk 13 bp'sini kullanır.</w:t>
      </w:r>
    </w:p>
    <w:p w14:paraId="5700F691" w14:textId="77777777" w:rsidR="00895ECE" w:rsidRDefault="00000000">
      <w:pPr>
        <w:numPr>
          <w:ilvl w:val="0"/>
          <w:numId w:val="2"/>
        </w:numPr>
        <w:spacing w:beforeAutospacing="1" w:after="0" w:afterAutospacing="1"/>
        <w:rPr>
          <w:rFonts w:ascii="Calibri" w:hAnsi="Calibri" w:cs="Calibri"/>
          <w:color w:val="0D0D0D" w:themeColor="text1" w:themeTint="F2"/>
          <w:sz w:val="52"/>
          <w:szCs w:val="52"/>
        </w:rPr>
      </w:pPr>
      <w:r>
        <w:rPr>
          <w:rFonts w:ascii="Calibri" w:eastAsia="Segoe UI" w:hAnsi="Calibri" w:cs="Calibri"/>
          <w:color w:val="0D0D0D" w:themeColor="text1" w:themeTint="F2"/>
          <w:sz w:val="28"/>
          <w:szCs w:val="28"/>
          <w:shd w:val="clear" w:color="auto" w:fill="FFFFFF"/>
        </w:rPr>
        <w:t>Trim Galore, kırpma işlemi sırasında çok kısa olmaları durumunda dizileri kaldırabilir. Eşleştirilmiş uçlu dosyalar için iki okumadan birinin (veya her ikisinin) ayarlanan uzunluk sınırından kısa olması durumunda tüm dizi çiftlerini kaldırır.</w:t>
      </w:r>
    </w:p>
    <w:p w14:paraId="5AFFFD87" w14:textId="77777777" w:rsidR="00895ECE" w:rsidRDefault="00895ECE">
      <w:pPr>
        <w:spacing w:beforeAutospacing="1" w:after="0" w:afterAutospacing="1"/>
        <w:ind w:left="360"/>
        <w:rPr>
          <w:rFonts w:ascii="Calibri" w:hAnsi="Calibri" w:cs="Calibri"/>
          <w:color w:val="0D0D0D" w:themeColor="text1" w:themeTint="F2"/>
          <w:sz w:val="52"/>
          <w:szCs w:val="52"/>
        </w:rPr>
      </w:pPr>
    </w:p>
    <w:p w14:paraId="29AE109E" w14:textId="77777777" w:rsidR="00895ECE" w:rsidRDefault="00000000">
      <w:pPr>
        <w:numPr>
          <w:ilvl w:val="0"/>
          <w:numId w:val="2"/>
        </w:numPr>
        <w:spacing w:beforeAutospacing="1" w:after="0" w:afterAutospacing="1"/>
        <w:rPr>
          <w:rFonts w:ascii="Calibri" w:hAnsi="Calibri" w:cs="Calibri"/>
          <w:sz w:val="160"/>
          <w:szCs w:val="160"/>
        </w:rPr>
      </w:pPr>
      <w:r>
        <w:rPr>
          <w:noProof/>
        </w:rPr>
        <w:lastRenderedPageBreak/>
        <w:drawing>
          <wp:inline distT="0" distB="0" distL="114300" distR="114300" wp14:anchorId="037CC89E" wp14:editId="652917EF">
            <wp:extent cx="5147310" cy="3298825"/>
            <wp:effectExtent l="0" t="0" r="1524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147310" cy="3298825"/>
                    </a:xfrm>
                    <a:prstGeom prst="rect">
                      <a:avLst/>
                    </a:prstGeom>
                    <a:noFill/>
                    <a:ln>
                      <a:noFill/>
                    </a:ln>
                  </pic:spPr>
                </pic:pic>
              </a:graphicData>
            </a:graphic>
          </wp:inline>
        </w:drawing>
      </w:r>
    </w:p>
    <w:p w14:paraId="15C03872" w14:textId="77777777" w:rsidR="00895ECE" w:rsidRDefault="00895ECE">
      <w:pPr>
        <w:rPr>
          <w:sz w:val="32"/>
          <w:szCs w:val="32"/>
        </w:rPr>
      </w:pPr>
    </w:p>
    <w:p w14:paraId="0A4225FD" w14:textId="77777777" w:rsidR="00895ECE" w:rsidRDefault="00000000">
      <w:pPr>
        <w:pStyle w:val="ListeParagraf"/>
        <w:numPr>
          <w:ilvl w:val="0"/>
          <w:numId w:val="1"/>
        </w:numPr>
        <w:rPr>
          <w:b/>
          <w:bCs/>
          <w:sz w:val="36"/>
          <w:szCs w:val="36"/>
        </w:rPr>
      </w:pPr>
      <w:r>
        <w:rPr>
          <w:b/>
          <w:bCs/>
          <w:sz w:val="36"/>
          <w:szCs w:val="36"/>
        </w:rPr>
        <w:t xml:space="preserve">Referans Genoma hizalama aşaması </w:t>
      </w:r>
    </w:p>
    <w:p w14:paraId="26B813B5" w14:textId="77777777" w:rsidR="00895ECE" w:rsidRDefault="00000000">
      <w:pPr>
        <w:ind w:left="360"/>
        <w:rPr>
          <w:sz w:val="32"/>
          <w:szCs w:val="32"/>
        </w:rPr>
      </w:pPr>
      <w:r>
        <w:rPr>
          <w:sz w:val="32"/>
          <w:szCs w:val="32"/>
        </w:rPr>
        <w:t>Referans genomun hizalanmasında genellikle aynı şekilde 3 tool kullanılır, bunlar; Hisat, Star ve Tophat’tır. Derste bunlardan ve bunların birbiriyle benzerlik ve farklılıklarına dayalı olarak anlattığım toollardan Hisat toolunu baz alarak anlattığımdan ötürü bu sefer Hisat tooluna benzer özellikler taşıyan Star’dan bahsedeceğim.</w:t>
      </w:r>
    </w:p>
    <w:p w14:paraId="7ED8D473" w14:textId="77777777" w:rsidR="00895ECE" w:rsidRDefault="00000000">
      <w:pPr>
        <w:ind w:left="360"/>
        <w:rPr>
          <w:rFonts w:ascii="Arial" w:hAnsi="Arial" w:cs="Arial"/>
          <w:color w:val="0D0D0D" w:themeColor="text1" w:themeTint="F2"/>
          <w:sz w:val="24"/>
          <w:szCs w:val="24"/>
          <w:shd w:val="clear" w:color="auto" w:fill="FFFFFF"/>
        </w:rPr>
      </w:pPr>
      <w:r>
        <w:rPr>
          <w:sz w:val="32"/>
          <w:szCs w:val="32"/>
        </w:rPr>
        <w:t xml:space="preserve">(Bu toollardan farklı olarak Tophat, genellikle Bowtie programını kullanarak hizalama yaptığından dolayı, hizalamanın daha hızlı ve pratik olabilmesi adına star toolunu kullanmayı tercih ettim.) </w:t>
      </w:r>
      <w:r>
        <w:rPr>
          <w:rFonts w:ascii="Calibri" w:hAnsi="Calibri" w:cs="Calibri"/>
          <w:color w:val="0D0D0D" w:themeColor="text1" w:themeTint="F2"/>
          <w:sz w:val="32"/>
          <w:szCs w:val="32"/>
          <w:shd w:val="clear" w:color="auto" w:fill="FFFFFF"/>
        </w:rPr>
        <w:t>Bitişik olmayan transkriptlerin haritalanması için star geliştirilmiştir. </w:t>
      </w:r>
      <w:hyperlink r:id="rId8" w:history="1">
        <w:r>
          <w:rPr>
            <w:rStyle w:val="Kpr"/>
            <w:rFonts w:ascii="Calibri" w:hAnsi="Calibri" w:cs="Calibri"/>
            <w:color w:val="0D0D0D" w:themeColor="text1" w:themeTint="F2"/>
            <w:sz w:val="32"/>
            <w:szCs w:val="32"/>
            <w:u w:val="none"/>
            <w:shd w:val="clear" w:color="auto" w:fill="FFFFFF"/>
          </w:rPr>
          <w:t>STAR'ın hızı ve güvenilirliği kanıtlanmıştır</w:t>
        </w:r>
      </w:hyperlink>
      <w:r>
        <w:rPr>
          <w:rFonts w:ascii="Arial" w:hAnsi="Arial" w:cs="Arial"/>
          <w:color w:val="0D0D0D" w:themeColor="text1" w:themeTint="F2"/>
          <w:sz w:val="24"/>
          <w:szCs w:val="24"/>
          <w:shd w:val="clear" w:color="auto" w:fill="FFFFFF"/>
        </w:rPr>
        <w:t> .</w:t>
      </w:r>
    </w:p>
    <w:p w14:paraId="5F5B4DD7" w14:textId="77777777" w:rsidR="00895ECE" w:rsidRDefault="00000000">
      <w:pPr>
        <w:numPr>
          <w:ilvl w:val="0"/>
          <w:numId w:val="3"/>
        </w:numPr>
        <w:rPr>
          <w:rFonts w:ascii="Arial" w:hAnsi="Arial" w:cs="Arial"/>
          <w:color w:val="262626" w:themeColor="text1" w:themeTint="D9"/>
          <w:sz w:val="24"/>
          <w:szCs w:val="24"/>
          <w:shd w:val="clear" w:color="auto" w:fill="FFFFFF"/>
        </w:rPr>
      </w:pPr>
      <w:r>
        <w:rPr>
          <w:rFonts w:ascii="Arial" w:hAnsi="Arial" w:cs="Arial"/>
          <w:color w:val="262626" w:themeColor="text1" w:themeTint="D9"/>
          <w:sz w:val="24"/>
          <w:szCs w:val="24"/>
          <w:shd w:val="clear" w:color="auto" w:fill="FFFFFF"/>
        </w:rPr>
        <w:t xml:space="preserve">Star, hızlı ve hassas hizalama yapabilen bir rna seq hizalama aracıdır. Özellikle splicing olaylarını doğru bir şekilde hızlı hizalama yapar. </w:t>
      </w:r>
    </w:p>
    <w:p w14:paraId="4CC619EE" w14:textId="77777777" w:rsidR="00895ECE" w:rsidRDefault="00895ECE">
      <w:pPr>
        <w:ind w:left="360"/>
        <w:rPr>
          <w:rFonts w:ascii="Arial" w:hAnsi="Arial" w:cs="Arial"/>
          <w:color w:val="0D0D0D" w:themeColor="text1" w:themeTint="F2"/>
          <w:sz w:val="32"/>
          <w:szCs w:val="32"/>
          <w:shd w:val="clear" w:color="auto" w:fill="FFFFFF"/>
        </w:rPr>
      </w:pPr>
    </w:p>
    <w:p w14:paraId="66DD9DB8" w14:textId="77777777" w:rsidR="00895ECE" w:rsidRDefault="00000000">
      <w:pPr>
        <w:pStyle w:val="NormalWeb"/>
        <w:numPr>
          <w:ilvl w:val="0"/>
          <w:numId w:val="4"/>
        </w:numPr>
        <w:shd w:val="clear" w:color="auto" w:fill="FFFFFF"/>
        <w:spacing w:beforeAutospacing="0"/>
        <w:rPr>
          <w:rFonts w:ascii="Segoe UI" w:eastAsia="Segoe UI" w:hAnsi="Segoe UI" w:cs="Segoe UI"/>
          <w:color w:val="0D0D0D" w:themeColor="text1" w:themeTint="F2"/>
          <w:sz w:val="22"/>
          <w:szCs w:val="22"/>
        </w:rPr>
      </w:pPr>
      <w:r>
        <w:rPr>
          <w:rFonts w:ascii="Segoe UI" w:eastAsia="Segoe UI" w:hAnsi="Segoe UI" w:cs="Segoe UI"/>
          <w:color w:val="0D0D0D" w:themeColor="text1" w:themeTint="F2"/>
          <w:sz w:val="22"/>
          <w:szCs w:val="22"/>
          <w:shd w:val="clear" w:color="auto" w:fill="FFFFFF"/>
        </w:rPr>
        <w:t>STAR, hizalamaları filtrelemek ve çıktısının tam formatını yapılandırmak için çok sayıda seçeneğe sahiptir.</w:t>
      </w:r>
    </w:p>
    <w:p w14:paraId="5EF88903" w14:textId="77777777" w:rsidR="00895ECE" w:rsidRDefault="00000000">
      <w:pPr>
        <w:pStyle w:val="NormalWeb"/>
        <w:numPr>
          <w:ilvl w:val="0"/>
          <w:numId w:val="4"/>
        </w:numPr>
        <w:shd w:val="clear" w:color="auto" w:fill="FFFFFF"/>
        <w:spacing w:beforeAutospacing="0"/>
        <w:rPr>
          <w:rFonts w:ascii="Segoe UI" w:eastAsia="Segoe UI" w:hAnsi="Segoe UI" w:cs="Segoe UI"/>
          <w:color w:val="0D0D0D" w:themeColor="text1" w:themeTint="F2"/>
          <w:sz w:val="22"/>
          <w:szCs w:val="22"/>
        </w:rPr>
      </w:pPr>
      <w:r>
        <w:rPr>
          <w:rFonts w:ascii="Segoe UI" w:eastAsia="Segoe UI" w:hAnsi="Segoe UI" w:cs="Segoe UI"/>
          <w:color w:val="0D0D0D" w:themeColor="text1" w:themeTint="F2"/>
          <w:sz w:val="22"/>
          <w:szCs w:val="22"/>
          <w:shd w:val="clear" w:color="auto" w:fill="FFFFFF"/>
        </w:rPr>
        <w:lastRenderedPageBreak/>
        <w:t>STAR, yalnızca referans genoma göre değil, aynı zamanda bir gen modeli tarafından tanımlanan genlere ve transkriptlere göre de analiz sonuçları sağlayabilir. </w:t>
      </w:r>
    </w:p>
    <w:p w14:paraId="7FAD2AE0" w14:textId="77777777" w:rsidR="00895ECE" w:rsidRDefault="00000000">
      <w:pPr>
        <w:ind w:left="360"/>
        <w:rPr>
          <w:rFonts w:ascii="Arial" w:hAnsi="Arial" w:cs="Arial"/>
          <w:color w:val="0D0D0D" w:themeColor="text1" w:themeTint="F2"/>
          <w:sz w:val="24"/>
          <w:szCs w:val="24"/>
          <w:shd w:val="clear" w:color="auto" w:fill="FFFFFF"/>
        </w:rPr>
      </w:pPr>
      <w:r>
        <w:rPr>
          <w:noProof/>
        </w:rPr>
        <w:drawing>
          <wp:inline distT="0" distB="0" distL="114300" distR="114300" wp14:anchorId="7488110D" wp14:editId="230308C6">
            <wp:extent cx="5240020" cy="6393180"/>
            <wp:effectExtent l="0" t="0" r="177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240020" cy="6393180"/>
                    </a:xfrm>
                    <a:prstGeom prst="rect">
                      <a:avLst/>
                    </a:prstGeom>
                    <a:noFill/>
                    <a:ln>
                      <a:noFill/>
                    </a:ln>
                  </pic:spPr>
                </pic:pic>
              </a:graphicData>
            </a:graphic>
          </wp:inline>
        </w:drawing>
      </w:r>
    </w:p>
    <w:p w14:paraId="3152DE12" w14:textId="77777777" w:rsidR="00895ECE" w:rsidRDefault="00895ECE">
      <w:pPr>
        <w:rPr>
          <w:rFonts w:ascii="Arial" w:hAnsi="Arial" w:cs="Arial"/>
          <w:color w:val="0D0D0D" w:themeColor="text1" w:themeTint="F2"/>
          <w:sz w:val="23"/>
          <w:szCs w:val="23"/>
          <w:shd w:val="clear" w:color="auto" w:fill="FFFFFF"/>
        </w:rPr>
      </w:pPr>
    </w:p>
    <w:p w14:paraId="531E1468" w14:textId="77777777" w:rsidR="00895ECE" w:rsidRDefault="00895ECE">
      <w:pPr>
        <w:rPr>
          <w:rFonts w:ascii="Arial" w:hAnsi="Arial" w:cs="Arial"/>
          <w:color w:val="0D0D0D" w:themeColor="text1" w:themeTint="F2"/>
          <w:sz w:val="23"/>
          <w:szCs w:val="23"/>
          <w:shd w:val="clear" w:color="auto" w:fill="FFFFFF"/>
        </w:rPr>
      </w:pPr>
    </w:p>
    <w:p w14:paraId="4401B8A4" w14:textId="77777777" w:rsidR="00895ECE" w:rsidRDefault="00895ECE">
      <w:pPr>
        <w:rPr>
          <w:rFonts w:ascii="Arial" w:hAnsi="Arial" w:cs="Arial"/>
          <w:color w:val="0D0D0D" w:themeColor="text1" w:themeTint="F2"/>
          <w:sz w:val="23"/>
          <w:szCs w:val="23"/>
          <w:shd w:val="clear" w:color="auto" w:fill="FFFFFF"/>
        </w:rPr>
      </w:pPr>
    </w:p>
    <w:p w14:paraId="111543C6" w14:textId="77777777" w:rsidR="00895ECE" w:rsidRDefault="00895ECE">
      <w:pPr>
        <w:rPr>
          <w:rFonts w:ascii="Arial" w:hAnsi="Arial" w:cs="Arial"/>
          <w:color w:val="0D0D0D" w:themeColor="text1" w:themeTint="F2"/>
          <w:sz w:val="23"/>
          <w:szCs w:val="23"/>
          <w:shd w:val="clear" w:color="auto" w:fill="FFFFFF"/>
        </w:rPr>
      </w:pPr>
    </w:p>
    <w:p w14:paraId="77D5AE63" w14:textId="77777777" w:rsidR="00895ECE" w:rsidRDefault="00895ECE">
      <w:pPr>
        <w:rPr>
          <w:rFonts w:ascii="Arial" w:hAnsi="Arial" w:cs="Arial"/>
          <w:color w:val="0D0D0D" w:themeColor="text1" w:themeTint="F2"/>
          <w:sz w:val="23"/>
          <w:szCs w:val="23"/>
          <w:shd w:val="clear" w:color="auto" w:fill="FFFFFF"/>
        </w:rPr>
      </w:pPr>
    </w:p>
    <w:p w14:paraId="5B8FF34A" w14:textId="77777777" w:rsidR="00895ECE" w:rsidRDefault="00895ECE">
      <w:pPr>
        <w:rPr>
          <w:rFonts w:ascii="Arial" w:hAnsi="Arial" w:cs="Arial"/>
          <w:color w:val="0D0D0D" w:themeColor="text1" w:themeTint="F2"/>
          <w:sz w:val="23"/>
          <w:szCs w:val="23"/>
          <w:shd w:val="clear" w:color="auto" w:fill="FFFFFF"/>
        </w:rPr>
      </w:pPr>
    </w:p>
    <w:p w14:paraId="3C754A4E" w14:textId="77777777" w:rsidR="00895ECE" w:rsidRDefault="00000000">
      <w:pPr>
        <w:pStyle w:val="ListeParagraf"/>
        <w:numPr>
          <w:ilvl w:val="0"/>
          <w:numId w:val="1"/>
        </w:numPr>
        <w:rPr>
          <w:b/>
          <w:bCs/>
          <w:sz w:val="36"/>
          <w:szCs w:val="36"/>
        </w:rPr>
      </w:pPr>
      <w:r>
        <w:rPr>
          <w:b/>
          <w:bCs/>
          <w:sz w:val="36"/>
          <w:szCs w:val="36"/>
        </w:rPr>
        <w:lastRenderedPageBreak/>
        <w:t xml:space="preserve">Gen ifadesinin ölçümü </w:t>
      </w:r>
    </w:p>
    <w:p w14:paraId="7AB065CE" w14:textId="77777777" w:rsidR="00895ECE" w:rsidRDefault="00000000">
      <w:pPr>
        <w:pStyle w:val="ListeParagraf"/>
        <w:ind w:left="360"/>
        <w:rPr>
          <w:sz w:val="32"/>
          <w:szCs w:val="32"/>
        </w:rPr>
      </w:pPr>
      <w:r>
        <w:rPr>
          <w:sz w:val="32"/>
          <w:szCs w:val="32"/>
        </w:rPr>
        <w:t xml:space="preserve">  FPKM değerleri kullanarak tüm veri içerisindeki anlamlı olarak anlatımı değişen genleri tespit etmek için EBSeq paketi ve Cufflinks aracı kullanılır.  </w:t>
      </w:r>
    </w:p>
    <w:p w14:paraId="5C3E7703" w14:textId="77777777" w:rsidR="00895ECE" w:rsidRDefault="00000000">
      <w:pPr>
        <w:pStyle w:val="ListeParagraf"/>
        <w:ind w:left="360"/>
        <w:rPr>
          <w:sz w:val="32"/>
          <w:szCs w:val="32"/>
        </w:rPr>
      </w:pPr>
      <w:r>
        <w:rPr>
          <w:sz w:val="32"/>
          <w:szCs w:val="32"/>
        </w:rPr>
        <w:t>EBSeq, R programlama içerisindeki biyolojik analizler yapılabilecek platform olan Bioconductor bünyesinde bir pakettir ve gen anlatım profilleri hesaplamalarında kullanılmaktadır.</w:t>
      </w:r>
    </w:p>
    <w:p w14:paraId="63688C93" w14:textId="77777777" w:rsidR="00895ECE" w:rsidRDefault="00000000">
      <w:pPr>
        <w:pStyle w:val="ListeParagraf"/>
        <w:ind w:left="360"/>
        <w:rPr>
          <w:sz w:val="32"/>
          <w:szCs w:val="32"/>
        </w:rPr>
      </w:pPr>
      <w:r>
        <w:rPr>
          <w:sz w:val="32"/>
          <w:szCs w:val="32"/>
        </w:rPr>
        <w:t>Cufflinks ise, RNA seq verilerinde alternatif splicing olaylarını tespit etmek ve gen ifadesini nicellendirmek için kullanılan bir araçtır.</w:t>
      </w:r>
    </w:p>
    <w:p w14:paraId="3CE5BF1D" w14:textId="77777777" w:rsidR="00895ECE" w:rsidRDefault="00000000">
      <w:pPr>
        <w:pStyle w:val="ListeParagraf"/>
        <w:ind w:left="360"/>
        <w:rPr>
          <w:sz w:val="32"/>
          <w:szCs w:val="32"/>
        </w:rPr>
      </w:pPr>
      <w:r>
        <w:rPr>
          <w:sz w:val="32"/>
          <w:szCs w:val="32"/>
        </w:rPr>
        <w:t>Daha sonra R programında görüntüleme gibi işlemler yapılır.</w:t>
      </w:r>
    </w:p>
    <w:p w14:paraId="54E1A1F6" w14:textId="77777777" w:rsidR="00895ECE" w:rsidRDefault="00895ECE">
      <w:pPr>
        <w:pStyle w:val="ListeParagraf"/>
        <w:ind w:left="360"/>
        <w:rPr>
          <w:sz w:val="32"/>
          <w:szCs w:val="32"/>
        </w:rPr>
      </w:pPr>
    </w:p>
    <w:p w14:paraId="6F0F3FD1" w14:textId="77777777" w:rsidR="00895ECE" w:rsidRDefault="00895ECE">
      <w:pPr>
        <w:pStyle w:val="ListeParagraf"/>
        <w:ind w:left="360"/>
        <w:rPr>
          <w:sz w:val="32"/>
          <w:szCs w:val="32"/>
        </w:rPr>
      </w:pPr>
    </w:p>
    <w:p w14:paraId="371032E2" w14:textId="77777777" w:rsidR="00895ECE" w:rsidRDefault="00895ECE">
      <w:pPr>
        <w:pStyle w:val="ListeParagraf"/>
        <w:ind w:left="360"/>
        <w:rPr>
          <w:sz w:val="32"/>
          <w:szCs w:val="32"/>
        </w:rPr>
      </w:pPr>
    </w:p>
    <w:sectPr w:rsidR="00895E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41C4" w14:textId="77777777" w:rsidR="002610FA" w:rsidRDefault="002610FA">
      <w:pPr>
        <w:spacing w:line="240" w:lineRule="auto"/>
      </w:pPr>
      <w:r>
        <w:separator/>
      </w:r>
    </w:p>
  </w:endnote>
  <w:endnote w:type="continuationSeparator" w:id="0">
    <w:p w14:paraId="646FBEA6" w14:textId="77777777" w:rsidR="002610FA" w:rsidRDefault="00261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47C4" w14:textId="77777777" w:rsidR="002610FA" w:rsidRDefault="002610FA">
      <w:pPr>
        <w:spacing w:after="0"/>
      </w:pPr>
      <w:r>
        <w:separator/>
      </w:r>
    </w:p>
  </w:footnote>
  <w:footnote w:type="continuationSeparator" w:id="0">
    <w:p w14:paraId="15C968EA" w14:textId="77777777" w:rsidR="002610FA" w:rsidRDefault="002610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2819E"/>
    <w:multiLevelType w:val="multilevel"/>
    <w:tmpl w:val="8752819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44E5DEF"/>
    <w:multiLevelType w:val="singleLevel"/>
    <w:tmpl w:val="944E5DE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0FB3DD7"/>
    <w:multiLevelType w:val="multilevel"/>
    <w:tmpl w:val="60FB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5A5D94"/>
    <w:multiLevelType w:val="singleLevel"/>
    <w:tmpl w:val="635A5D94"/>
    <w:lvl w:ilvl="0">
      <w:start w:val="1"/>
      <w:numFmt w:val="bullet"/>
      <w:lvlText w:val=""/>
      <w:lvlJc w:val="left"/>
      <w:pPr>
        <w:tabs>
          <w:tab w:val="left" w:pos="420"/>
        </w:tabs>
        <w:ind w:left="420" w:hanging="420"/>
      </w:pPr>
      <w:rPr>
        <w:rFonts w:ascii="Wingdings" w:hAnsi="Wingdings" w:hint="default"/>
      </w:rPr>
    </w:lvl>
  </w:abstractNum>
  <w:num w:numId="1" w16cid:durableId="2092195985">
    <w:abstractNumId w:val="2"/>
  </w:num>
  <w:num w:numId="2" w16cid:durableId="1945839557">
    <w:abstractNumId w:val="0"/>
  </w:num>
  <w:num w:numId="3" w16cid:durableId="834298082">
    <w:abstractNumId w:val="1"/>
  </w:num>
  <w:num w:numId="4" w16cid:durableId="153599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B644FC"/>
    <w:rsid w:val="0004569A"/>
    <w:rsid w:val="00067C1A"/>
    <w:rsid w:val="00153F1A"/>
    <w:rsid w:val="001A2B1D"/>
    <w:rsid w:val="00243D39"/>
    <w:rsid w:val="00245E1F"/>
    <w:rsid w:val="00247E81"/>
    <w:rsid w:val="002610FA"/>
    <w:rsid w:val="00311D80"/>
    <w:rsid w:val="00374CC9"/>
    <w:rsid w:val="003B3992"/>
    <w:rsid w:val="00461C29"/>
    <w:rsid w:val="005C1D48"/>
    <w:rsid w:val="006926EB"/>
    <w:rsid w:val="0086692E"/>
    <w:rsid w:val="00895ECE"/>
    <w:rsid w:val="0092244F"/>
    <w:rsid w:val="009B3BC9"/>
    <w:rsid w:val="00A70F35"/>
    <w:rsid w:val="00B038C1"/>
    <w:rsid w:val="00B06485"/>
    <w:rsid w:val="00B13336"/>
    <w:rsid w:val="00B24E7E"/>
    <w:rsid w:val="00B644FC"/>
    <w:rsid w:val="00C3639E"/>
    <w:rsid w:val="00E2458D"/>
    <w:rsid w:val="00E83B6B"/>
    <w:rsid w:val="00ED2FEB"/>
    <w:rsid w:val="00F13DB2"/>
    <w:rsid w:val="00F60B7F"/>
    <w:rsid w:val="00F84D57"/>
    <w:rsid w:val="00F95F2E"/>
    <w:rsid w:val="00FD063D"/>
    <w:rsid w:val="1A5B68E7"/>
    <w:rsid w:val="4B732C34"/>
    <w:rsid w:val="54F10D18"/>
    <w:rsid w:val="609650CB"/>
    <w:rsid w:val="67FD3B73"/>
    <w:rsid w:val="68112EC0"/>
    <w:rsid w:val="7EA0375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714E"/>
  <w15:docId w15:val="{5FFBD7EC-2D65-4EE2-B5CE-21AF92D9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ademic.oup.com/bioinformatics/article-lookup/doi/10.1093/bioinformatics/bts63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cihad moll</dc:creator>
  <cp:lastModifiedBy>cihad moll</cp:lastModifiedBy>
  <cp:revision>3</cp:revision>
  <dcterms:created xsi:type="dcterms:W3CDTF">2023-09-18T20:07:00Z</dcterms:created>
  <dcterms:modified xsi:type="dcterms:W3CDTF">2024-03-28T22:07:00Z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2659445E10204F2E8A10D3B5A2DCDE0E</vt:lpwstr>
  </property>
</Properties>
</file>